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D65E" w14:textId="77777777" w:rsidR="00941C02" w:rsidRDefault="00941C02" w:rsidP="00941C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3C59C152" w14:textId="77777777" w:rsidR="00941C02" w:rsidRDefault="00941C02" w:rsidP="00941C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A5A334A" w14:textId="77777777" w:rsidR="00941C02" w:rsidRDefault="00941C02" w:rsidP="00941C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VÝPIS</w:t>
      </w:r>
    </w:p>
    <w:p w14:paraId="516E892E" w14:textId="77777777" w:rsidR="00941C02" w:rsidRDefault="00941C02" w:rsidP="00941C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USNESENÍ ZASTUPITELSTVA MĚSTA</w:t>
      </w:r>
    </w:p>
    <w:p w14:paraId="189187C0" w14:textId="77777777" w:rsidR="00941C02" w:rsidRDefault="00941C02" w:rsidP="00941C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ze  zasedání Zastupitelstva města Sezemice</w:t>
      </w:r>
    </w:p>
    <w:p w14:paraId="221182A8" w14:textId="77777777" w:rsidR="00941C02" w:rsidRDefault="00941C02" w:rsidP="00941C02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14CE1976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04. 10. 2011</w:t>
      </w:r>
    </w:p>
    <w:p w14:paraId="41B380B6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sál města, Husovo nám. 790, Sezemice</w:t>
      </w:r>
    </w:p>
    <w:p w14:paraId="1E5D8C7A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5E2ED4E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Z/33/5/2011</w:t>
      </w:r>
    </w:p>
    <w:p w14:paraId="6DB679AA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Zastupitelstvo města Sezemice projednalo průběžnou kontrolní zprávu a tuto</w:t>
      </w:r>
    </w:p>
    <w:p w14:paraId="0C664EAB" w14:textId="77777777" w:rsidR="00941C02" w:rsidRDefault="00941C02" w:rsidP="00941C02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</w:p>
    <w:p w14:paraId="4BE4BCC7" w14:textId="77777777" w:rsidR="00941C02" w:rsidRDefault="00941C02" w:rsidP="00941C02">
      <w:pPr>
        <w:pStyle w:val="Body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a dále doporučuje:</w:t>
      </w:r>
    </w:p>
    <w:tbl>
      <w:tblPr>
        <w:tblW w:w="8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109"/>
      </w:tblGrid>
      <w:tr w:rsidR="00941C02" w14:paraId="378F477F" w14:textId="77777777" w:rsidTr="00941C02">
        <w:trPr>
          <w:trHeight w:val="36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2B0326" w14:textId="77777777" w:rsidR="00941C02" w:rsidRDefault="00941C0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Ponechat v evidenci: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248F04" w14:textId="77777777" w:rsidR="00941C02" w:rsidRDefault="00941C02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>Vyřadit z evidence:</w:t>
            </w:r>
          </w:p>
        </w:tc>
      </w:tr>
      <w:tr w:rsidR="00941C02" w14:paraId="7C310FBA" w14:textId="77777777" w:rsidTr="00941C02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6B213" w14:textId="77777777" w:rsidR="00941C02" w:rsidRDefault="00941C02">
            <w:pPr>
              <w:pStyle w:val="Heading1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13/1/2005, Z/20/1/2006, Z/14/2/2008, Z/28/3/2008, Z/9/1/2009, Z/30/3/2009, Z/77/8/2009, </w:t>
            </w: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Z/44/5/2010, Z/45/5/2010, Z/49/5/2010, Z/50/5/2010, Z/56/5/2010, Z/15/2/2010, Z/11/1/2011, Z/19/4/2011, Z/25/4/2011, Z/28/4/2011, Z/29/4/2011,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A3BB3" w14:textId="77777777" w:rsidR="00941C02" w:rsidRDefault="00941C02">
            <w:pPr>
              <w:rPr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</w:rPr>
              <w:t>Z/7/1/2011, Z/23/4/2011, Z/24/4/2011, Z/26/4/2011, Z/32/4/2011, Z/43/5/2010,</w:t>
            </w:r>
          </w:p>
        </w:tc>
      </w:tr>
    </w:tbl>
    <w:p w14:paraId="01353A46" w14:textId="77777777" w:rsidR="00941C02" w:rsidRDefault="00941C02" w:rsidP="00941C02">
      <w:pPr>
        <w:pStyle w:val="Heading1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>schvaluje </w:t>
      </w: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prodloužení termínu plnění usnesení dle důvodové zprávy</w:t>
      </w:r>
    </w:p>
    <w:p w14:paraId="720951E3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6A977616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Z/34/5/2011</w:t>
      </w:r>
    </w:p>
    <w:p w14:paraId="4F9A22B3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Sezemice</w:t>
      </w:r>
    </w:p>
    <w:p w14:paraId="67321EC4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zprávu o činnosti rady města od posledního řádného zasedání zastupitelstva města.</w:t>
      </w:r>
    </w:p>
    <w:p w14:paraId="08D33B12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2A8DCA4D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Z/35/5/2011</w:t>
      </w:r>
    </w:p>
    <w:p w14:paraId="1C96BE9F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dle § 15 zákona 250/2000 Sb., ve znění pozdějších předpisů projednalo předloženou zprávu a</w:t>
      </w:r>
    </w:p>
    <w:p w14:paraId="5E1B9AA6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vyúčtování hospodaření města k 30. 06. 2011</w:t>
      </w:r>
    </w:p>
    <w:p w14:paraId="6408B7AE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Příloha:</w:t>
      </w:r>
      <w:r>
        <w:rPr>
          <w:rFonts w:ascii="Arial" w:hAnsi="Arial" w:cs="Arial"/>
          <w:color w:val="000000"/>
        </w:rPr>
        <w:t> tabulky: přehled plnění příjmů a výdajů dle závazných ukazatelů a dle rozpisu rozpočtu</w:t>
      </w:r>
    </w:p>
    <w:p w14:paraId="3D7B8533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6B1BA16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Z/36/5/2011</w:t>
      </w:r>
    </w:p>
    <w:p w14:paraId="2B3CBF8D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Zastupitelstvo města dle § 3 zákona 250/2000 Sb., ve znění pozdějších předpisů, projednalo předloženou zprávu a</w:t>
      </w:r>
    </w:p>
    <w:p w14:paraId="548D4ABB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rozpočtový výhled na rok 2012 - 2015</w:t>
      </w:r>
    </w:p>
    <w:p w14:paraId="4B78BEDA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23E7FA4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Z/37/5/2011</w:t>
      </w:r>
    </w:p>
    <w:p w14:paraId="62B3BD99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projednala důvodovou zprávu a</w:t>
      </w:r>
    </w:p>
    <w:p w14:paraId="247D7CB6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</w:p>
    <w:p w14:paraId="7D261BB2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náklady na stavbu „Cyklistická stezka Kunětický most - Sezemice, 1. etapa Kunětický most - Počaply“ jsou ve výši 7.043.372 Kč.</w:t>
      </w:r>
    </w:p>
    <w:p w14:paraId="3A0163BD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 rozpočtu SFDI bude na tuto stavbu poskytnut příspěvek ve výši 3.747.000 Kč</w:t>
      </w:r>
    </w:p>
    <w:p w14:paraId="625C2F09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minimální spoluúčast města je ve výši 3.569.372 Kč</w:t>
      </w:r>
    </w:p>
    <w:p w14:paraId="05856342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další vyvolané nezbytné náklady jsou ve výši 250.000 Kč</w:t>
      </w:r>
    </w:p>
    <w:p w14:paraId="693D9F89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5.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změnu rozpočtu města na rok 2011 potřebnou k zajištění financování stavby dle předložené důvodové zprávy</w:t>
      </w:r>
    </w:p>
    <w:p w14:paraId="7C1E2C53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Smlouvu č. 513/2011 o poskytnutí finančních prostředků z rozpočtu Státního fondu dopravní infrastruktury na rok 2011</w:t>
      </w:r>
    </w:p>
    <w:p w14:paraId="2C975906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</w:p>
    <w:p w14:paraId="453F122C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spoluúčast města na stavbě „Cyklistická stezka Kunětický most - Sezemice, 1. etapa Kunětický most - Počaply“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ve výši 3.569.372 Kč</w:t>
      </w:r>
    </w:p>
    <w:p w14:paraId="1FA8F768" w14:textId="77777777" w:rsidR="00941C02" w:rsidRDefault="00941C02" w:rsidP="00941C02">
      <w:pPr>
        <w:pStyle w:val="ListParagraph"/>
        <w:shd w:val="clear" w:color="auto" w:fill="FFFFFF"/>
        <w:spacing w:before="0" w:beforeAutospacing="0" w:after="0" w:afterAutospacing="0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>další vyvolané náklady ve výši 250.000 Kč</w:t>
      </w:r>
    </w:p>
    <w:p w14:paraId="302806F5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změnu rozpočtu na rok 2011, která bude provedena rozpočtovým opatřením dle předložené důvodové zprávy.</w:t>
      </w:r>
    </w:p>
    <w:p w14:paraId="0A9FA4FF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financování investiční akce „Cyklistická stezka Kunětický most - Sezemice, 1. etapa Kunětický most - Počaply“ takto:</w:t>
      </w:r>
    </w:p>
    <w:p w14:paraId="298982C2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příspěvek z rozpočtu SFDI ve výši 3.747.000 Kč</w:t>
      </w:r>
    </w:p>
    <w:p w14:paraId="1B6A2831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příspěvek z rozpočtu města v celkové výši 3.819.372 Kč</w:t>
      </w:r>
    </w:p>
    <w:p w14:paraId="52949FDD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AC5C6BD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00661841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Z/38/5/2011</w:t>
      </w:r>
    </w:p>
    <w:p w14:paraId="67BD360D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předloženou zprávu a podle § 16 zák. č. 250/2000 Sb., ve znění pozdějších předpisů</w:t>
      </w:r>
    </w:p>
    <w:p w14:paraId="60CF72A7" w14:textId="77777777" w:rsidR="00941C02" w:rsidRDefault="00941C02" w:rsidP="00941C02">
      <w:pPr>
        <w:pStyle w:val="bodytext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rozpočtové změny č. 1 - 6 uvedené v rozpočtovém opatření dle závazných ukazatelů č. 2/2011</w:t>
      </w:r>
    </w:p>
    <w:p w14:paraId="116E6868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53A81B4C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Z/39/5/2011</w:t>
      </w:r>
    </w:p>
    <w:p w14:paraId="732C1151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důvodovou zprávu a</w:t>
      </w:r>
    </w:p>
    <w:p w14:paraId="7CA1410A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prodat pozemek st. p. č. 5/2, zastavěná plocha a nádvoří, v k. ú. Sezemice nad Loučnou byl zveřejněn v souladu s § 39 odst. 1 zákona č. 128/2000 Sb., o obcích (obecní zřízení) ve znění pozdějších předpisů od 22. 06. 2011 do 08. 07. 2011</w:t>
      </w:r>
    </w:p>
    <w:p w14:paraId="51491D22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prodej pozemku st. p. č. 5/2 v k. ú. Sezemice nad Loučnou o výměře 73</w:t>
      </w:r>
      <w:r>
        <w:rPr>
          <w:rFonts w:ascii="Arial" w:hAnsi="Arial" w:cs="Arial"/>
        </w:rPr>
        <w:t> m</w:t>
      </w:r>
      <w:r>
        <w:rPr>
          <w:rFonts w:ascii="Arial" w:hAnsi="Arial" w:cs="Arial"/>
          <w:vertAlign w:val="superscript"/>
        </w:rPr>
        <w:t>2 </w:t>
      </w:r>
      <w:r>
        <w:rPr>
          <w:rFonts w:ascii="Arial" w:hAnsi="Arial" w:cs="Arial"/>
          <w:color w:val="000000"/>
        </w:rPr>
        <w:t>z majetku Města Sezemice do majetku PP a JS, každému kupci nedílnou polovinu tohoto pozemku, za těchto podmínek:</w:t>
      </w:r>
    </w:p>
    <w:p w14:paraId="7CEF8EF8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kupní cena za celý pozemek činí Kč 30.000 Kč</w:t>
      </w:r>
    </w:p>
    <w:p w14:paraId="0D4CB656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náklady spojené s uzavřením kupní smlouvy (vklad vlastnického práva do KN, daň z převodu nemovitostí a další náklady) uhradí kupující</w:t>
      </w:r>
    </w:p>
    <w:p w14:paraId="52FBA6A1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zabezpečit veškeré potřebné náležitosti spojené s převodem pozemku dle bodu II. tohoto usnesení</w:t>
      </w:r>
    </w:p>
    <w:p w14:paraId="1B3460D5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10. 2011</w:t>
      </w:r>
    </w:p>
    <w:p w14:paraId="437385E6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1E49D13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A6AB78B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Z/40/5/2011</w:t>
      </w:r>
    </w:p>
    <w:p w14:paraId="6B1040EF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důvodovou zprávu a</w:t>
      </w:r>
    </w:p>
    <w:p w14:paraId="69981153" w14:textId="77777777" w:rsidR="00941C02" w:rsidRDefault="00941C02" w:rsidP="00941C02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bezúplatný převod pozemku p. č. 377/45 v k. ú. Sezemice nad Loučnou z majetku České republiky, ve správě nemovitostí Pozemkového fondu České republiky, do majetku Města Sezemice</w:t>
      </w:r>
    </w:p>
    <w:p w14:paraId="09DD8AC7" w14:textId="77777777" w:rsidR="00941C02" w:rsidRDefault="00941C02" w:rsidP="00941C02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zabezpečit veškeré potřebné náležitosti spojené s převodem pozemku dle bodu I. tohoto usnesení</w:t>
      </w:r>
    </w:p>
    <w:p w14:paraId="13219DCE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03. 2012</w:t>
      </w:r>
    </w:p>
    <w:p w14:paraId="0BAFB371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E83B417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4DA0BF7B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Z/41/5/2011</w:t>
      </w:r>
    </w:p>
    <w:p w14:paraId="2ADEA588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důvodovou zprávu a</w:t>
      </w:r>
    </w:p>
    <w:p w14:paraId="3A810FB3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prodat pozemek st. p. č. 634/4, zastavěná plocha a nádvoří, v k. ú. Sezemice nad Loučnou byl zveřejněn v souladu s § 39 odst. 1 zákona č. 128/2000 Sb., o obcích (obecní zřízení) ve znění pozdějších předpisů od 27. 07. 2011 do 12. 08. 2011</w:t>
      </w:r>
    </w:p>
    <w:p w14:paraId="04440FD6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prodej pozemku st. p. č. 634/4 v k. ú. Sezemice nad Loučnou o výměře 19</w:t>
      </w:r>
      <w:r>
        <w:rPr>
          <w:rFonts w:ascii="Arial" w:hAnsi="Arial" w:cs="Arial"/>
        </w:rPr>
        <w:t>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color w:val="000000"/>
        </w:rPr>
        <w:t>z majetku Města Sezemice do majetku ZH za kupní cenu ve výši Kč 400,- za 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tj. 7.600 Kč, náklady spojené s uzavřením kupní smlouvy (vklad vlastnického práva do KN, daň z převodu nemovitostí a další náklady) uhradí kupující</w:t>
      </w:r>
    </w:p>
    <w:p w14:paraId="422034FF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zabezpečit veškeré potřebné náležitosti spojené s převodem pozemku dle bodu II. tohoto usnesení</w:t>
      </w:r>
    </w:p>
    <w:p w14:paraId="689DF393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10. 2011</w:t>
      </w:r>
    </w:p>
    <w:p w14:paraId="0E963F8C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5109BFA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 </w:t>
      </w:r>
    </w:p>
    <w:p w14:paraId="593C8F8C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Z/42/5/2011</w:t>
      </w:r>
    </w:p>
    <w:p w14:paraId="035BE3E0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důvodovou zprávu a</w:t>
      </w:r>
    </w:p>
    <w:p w14:paraId="7741BF12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důvodovou zprávu ve věci vkladů infrastrukturního majetku měst a obcí do a.s. Vodovody a kanalizace Pardubice v roce 2012</w:t>
      </w:r>
    </w:p>
    <w:p w14:paraId="304C064F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převod majetku do akciové společnosti Vodovody a kanalizace Pardubice, a.s., a to:</w:t>
      </w:r>
    </w:p>
    <w:p w14:paraId="6F9AC669" w14:textId="77777777" w:rsidR="00941C02" w:rsidRDefault="00941C02" w:rsidP="00941C02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"ZTV pro obytnou skupinu 19 rodinných domů v Sezemicích -sever" SO 02 – Kanalizace - gravitační kanalizace Ultra Rib 2 300, délka 181,1 m,</w:t>
      </w:r>
    </w:p>
    <w:p w14:paraId="1FBA8F73" w14:textId="77777777" w:rsidR="00941C02" w:rsidRDefault="00941C02" w:rsidP="00941C02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„ZTV pro obytnou skupinu 19 rodinných domů v Sezemicích – sever“ SO 03 – Vodovod - DN 90 materiál PE, délka 183,7 m</w:t>
      </w:r>
    </w:p>
    <w:p w14:paraId="531DF86E" w14:textId="77777777" w:rsidR="00941C02" w:rsidRDefault="00941C02" w:rsidP="00941C02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"Technická infrastruktura pro RD Sezemice sever, II. etapa" SO Vodovod - vodovodní řád je prodloužením stávajícího vodovodu DN 80, vodovod proveden z trub IPE granulát 100 profilu DN 80 délky 40,0 m</w:t>
      </w:r>
    </w:p>
    <w:p w14:paraId="3FD08301" w14:textId="77777777" w:rsidR="00941C02" w:rsidRDefault="00941C02" w:rsidP="00941C02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"Technická infrastruktura pro RD Sezemice sever, II. etapa" SO Jednotná kanalizace - prodloužení stávající jednotné kanalizace stokou "S1", na stoce osazeny 2 revizní šachty - prefabrikované skružové DN 1000, kanalizace z trub ULTRA-RIB 2 DN 300, délky 39,5 m</w:t>
      </w:r>
    </w:p>
    <w:p w14:paraId="3D3E9E8C" w14:textId="77777777" w:rsidR="00941C02" w:rsidRDefault="00941C02" w:rsidP="00941C02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"Sezemice - Nerudova, Stavba RD a technické vybavenosti" Vodovod - Nerudova ul. DN 110 materiál PEHD, délka 223 m</w:t>
      </w:r>
    </w:p>
    <w:p w14:paraId="26552AE4" w14:textId="77777777" w:rsidR="00941C02" w:rsidRDefault="00941C02" w:rsidP="00941C02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"Sezemice - Nerudova, Stavba RD a technické vybavenosti" Kanalizace - Nerudova ul. gravitační kanalizace PVC 300, PVC 400, celkové délky 219 m</w:t>
      </w:r>
    </w:p>
    <w:p w14:paraId="2C5B31FD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postupovat dle časového harmonogramu navrženého akciovou společností Vodovody a kanalizace Pardubice, a.s. a zabezpečit veškeré potřebné náležitosti spojené se vkladem infrastrukturního majetku dle bodu II. tohoto usnesení</w:t>
      </w:r>
    </w:p>
    <w:p w14:paraId="4199837D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2012</w:t>
      </w:r>
    </w:p>
    <w:p w14:paraId="39561E50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7D5BCFA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DBF9B77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Z/43/5/2011</w:t>
      </w:r>
    </w:p>
    <w:p w14:paraId="5ABBD322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důvodovou zprávu a</w:t>
      </w:r>
    </w:p>
    <w:p w14:paraId="729FB450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důvodovou zprávu ve věci převodu pozemků pod stavbou „Sezemice – Počaply, bezbariérový chodník podél silnice I/36“ v k. ú. Počaply nad Loučnou“ do majetku města Sezemice</w:t>
      </w:r>
    </w:p>
    <w:p w14:paraId="73D54FA7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</w:p>
    <w:p w14:paraId="595DBDC4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 xml:space="preserve">uzavření smlouvy o výpůjčce mezi městem Sezemice (jako vypůjčitel) a Českou republikou - Ředitelstvím silnic a dálnic ČR (jako půjčitel) na pozemky nově označené dle geometrického plánu č. 454-23/2/2011 v k. ú. Počaply nad Loučnou jako p. č. 429/10 a 429/11, dále na pozemek nově označený jako p. č. 429/9 v k. ú. Počaply nad Loučnou dle </w:t>
      </w:r>
      <w:r>
        <w:rPr>
          <w:rFonts w:ascii="Arial" w:hAnsi="Arial" w:cs="Arial"/>
          <w:color w:val="000000"/>
        </w:rPr>
        <w:lastRenderedPageBreak/>
        <w:t>GP č. 449/12/2/2011, na pozemek nově označený jako p. č. 2720/48 v k ú. Pardubice dle GP č. 7076-13/2/2011 a dále na pozemky p. č. 429/4, 429/5, 429/7 vše v k. ú. Počaply nad Loučnou, které jsou dotčené stavbou „Sezemice – Počaply, bezbariérový chodník podél silnice I/36“</w:t>
      </w:r>
    </w:p>
    <w:p w14:paraId="7C45EB08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</w:t>
      </w:r>
      <w:r>
        <w:rPr>
          <w:color w:val="000000"/>
          <w:sz w:val="14"/>
          <w:szCs w:val="14"/>
        </w:rPr>
        <w:t>  </w:t>
      </w:r>
      <w:r>
        <w:rPr>
          <w:rFonts w:ascii="Arial" w:hAnsi="Arial" w:cs="Arial"/>
          <w:color w:val="000000"/>
        </w:rPr>
        <w:t>uzavření kupní smlouvy mezi městem Sezemice (jako kupující) a Českou republikou – Zemědělskou vodohospodářskou správou, případně nástupnickou organizací (jako prodávající), předmětem prodeje bude pozemek p. č. 246/1 v k. ú. Počaply nad Loučnou, vodní plocha, koryto vodního toku umělé, o výměře 65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, kupní cena bude stanovena znaleckým posudkem jako cena v čase a místě obvyklá</w:t>
      </w:r>
    </w:p>
    <w:p w14:paraId="21568227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 ukládá </w:t>
      </w:r>
      <w:r>
        <w:rPr>
          <w:rFonts w:ascii="Arial" w:hAnsi="Arial" w:cs="Arial"/>
          <w:color w:val="000000"/>
        </w:rPr>
        <w:t>zabezpečit veškeré potřebné náležitosti spojené s uzavřením smluv dle bodu II. tohoto usnesení</w:t>
      </w:r>
    </w:p>
    <w:p w14:paraId="0ECBC98B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2012</w:t>
      </w:r>
    </w:p>
    <w:p w14:paraId="3AFF95E4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A260EBC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21104A5E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Z/44/5/2011</w:t>
      </w:r>
    </w:p>
    <w:p w14:paraId="0901CC99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důvodovou zprávu, bere ji na vědomí a</w:t>
      </w:r>
    </w:p>
    <w:p w14:paraId="2512B1E5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návrhem zadání změny č. 1 územního plánu Sezemice</w:t>
      </w:r>
    </w:p>
    <w:p w14:paraId="593F6D64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71546EF1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Z/45/5/2011</w:t>
      </w:r>
    </w:p>
    <w:p w14:paraId="4F30F6AE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 projednalo důvodovou zprávu, bere ji na vědomí a podle § 28 odst. 1) zák. č. 128/2000 Sb., o obcích (obecní zřízení), ve znění pozdějších předpisů</w:t>
      </w:r>
    </w:p>
    <w:p w14:paraId="2474570A" w14:textId="77777777" w:rsidR="00941C02" w:rsidRDefault="00941C02" w:rsidP="00941C02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názvy ulic č. 1 -  č. 11 v lokalitě Z 8 Sezemice dle přiložené mapy takto:</w:t>
      </w:r>
    </w:p>
    <w:p w14:paraId="1E3BEEB4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Ulice č. 1 – Sídlištní</w:t>
      </w:r>
    </w:p>
    <w:p w14:paraId="7C414195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Ulice č. 2 – Boční</w:t>
      </w:r>
    </w:p>
    <w:p w14:paraId="6E7DFB4B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Ulice č. 3 – Dlouhá</w:t>
      </w:r>
    </w:p>
    <w:p w14:paraId="721E6A59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Ulice č. 4 – K Labi</w:t>
      </w:r>
    </w:p>
    <w:p w14:paraId="13E2CD26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5.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Ulice č. 5 – Příčná</w:t>
      </w:r>
    </w:p>
    <w:p w14:paraId="7EE4E52C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6.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Ulice č. 6 – Na Konci</w:t>
      </w:r>
    </w:p>
    <w:p w14:paraId="2E38B5EE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7.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Ulice č. 7 – Okrajová</w:t>
      </w:r>
    </w:p>
    <w:p w14:paraId="50A8497F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8.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Ulice č. 8 – Krátká</w:t>
      </w:r>
    </w:p>
    <w:p w14:paraId="63186567" w14:textId="77777777" w:rsidR="00941C02" w:rsidRDefault="00941C02" w:rsidP="00941C02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9.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Ulice č. 9 – Okružní</w:t>
      </w:r>
    </w:p>
    <w:p w14:paraId="39F6F935" w14:textId="77777777" w:rsidR="00941C02" w:rsidRDefault="00941C02" w:rsidP="00941C02">
      <w:pPr>
        <w:shd w:val="clear" w:color="auto" w:fill="FFFFFF"/>
        <w:ind w:left="681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10.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Ulice č. 10 – Kolmá</w:t>
      </w:r>
    </w:p>
    <w:p w14:paraId="52C34975" w14:textId="77777777" w:rsidR="00941C02" w:rsidRDefault="00941C02" w:rsidP="00941C02">
      <w:pPr>
        <w:shd w:val="clear" w:color="auto" w:fill="FFFFFF"/>
        <w:ind w:left="681" w:hanging="284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11.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Ulice č. 11 – Konečná</w:t>
      </w:r>
    </w:p>
    <w:p w14:paraId="28E5FA3A" w14:textId="77777777" w:rsidR="00941C02" w:rsidRDefault="00941C02" w:rsidP="00941C02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zajistit potřebné náležitosti spojené s pojmenováním ulic</w:t>
      </w:r>
    </w:p>
    <w:p w14:paraId="19BD4C0E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Zodpovídá: tajemnice MěÚ</w:t>
      </w:r>
    </w:p>
    <w:p w14:paraId="0E1B656B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Termín: 31. 12. 2011</w:t>
      </w:r>
    </w:p>
    <w:p w14:paraId="4C0E736A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616E9687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Z/46/5/2011</w:t>
      </w:r>
    </w:p>
    <w:p w14:paraId="6A919DE5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 podle § 84 odst. 4 a v souladu s § 38 a násl. zákona č. 128/2000 Sb., o obcích, v platném znění,</w:t>
      </w:r>
    </w:p>
    <w:p w14:paraId="6F6346C3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návrh Směrnice č. 5/2011, Zásady při nakládání s pohledávkami města</w:t>
      </w:r>
    </w:p>
    <w:p w14:paraId="4E9E883F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vydává</w:t>
      </w:r>
      <w:r>
        <w:rPr>
          <w:rFonts w:ascii="Arial" w:hAnsi="Arial" w:cs="Arial"/>
          <w:color w:val="000000"/>
        </w:rPr>
        <w:t> Směrnici č. 5/2011, Zásady při nakládání s pohledávkami města</w:t>
      </w:r>
    </w:p>
    <w:p w14:paraId="32DDB7D2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pověřuje </w:t>
      </w:r>
      <w:r>
        <w:rPr>
          <w:rFonts w:ascii="Arial" w:hAnsi="Arial" w:cs="Arial"/>
          <w:color w:val="000000"/>
        </w:rPr>
        <w:t>tajemnici úřadu vydáváním dodatků ke směrnici č. 5/2011 v souvislosti s legislativními změnami</w:t>
      </w:r>
    </w:p>
    <w:p w14:paraId="7EE1D272" w14:textId="77777777" w:rsidR="00941C02" w:rsidRDefault="00941C02" w:rsidP="00941C02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853537B" w14:textId="77777777" w:rsidR="00941C02" w:rsidRDefault="00941C02" w:rsidP="00941C02">
      <w:pPr>
        <w:pStyle w:val="Heading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Usnesení č. Z/47/5/2011</w:t>
      </w:r>
    </w:p>
    <w:p w14:paraId="6FB65718" w14:textId="77777777" w:rsidR="00941C02" w:rsidRDefault="00941C02" w:rsidP="00941C02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Zastupitelstvo města podle § 84 odst. 4 a v souladu s § 38 a násl. zákona č. 128/2000 Sb., o obcích, v platném znění,</w:t>
      </w:r>
    </w:p>
    <w:p w14:paraId="41382383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návrh Směrnice č. 6/2011, o pořizování dlouhodobého majetku, evidenci dlouhodobého majetku a vyřazení dlouhodobého majetku z evidence</w:t>
      </w:r>
    </w:p>
    <w:p w14:paraId="21B732BB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vydává </w:t>
      </w:r>
      <w:r>
        <w:rPr>
          <w:rFonts w:ascii="Arial" w:hAnsi="Arial" w:cs="Arial"/>
          <w:color w:val="000000"/>
        </w:rPr>
        <w:t>Směrnici č. 6/2011, Směrnice o pořizování dlouhodobého majetku, evidenci dlouhodobého majetku a vyřazení dlouhodobého majetku z evidence</w:t>
      </w:r>
    </w:p>
    <w:p w14:paraId="0C21F71E" w14:textId="77777777" w:rsidR="00941C02" w:rsidRDefault="00941C02" w:rsidP="00941C02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pověřuje </w:t>
      </w:r>
      <w:r>
        <w:rPr>
          <w:rFonts w:ascii="Arial" w:hAnsi="Arial" w:cs="Arial"/>
          <w:color w:val="000000"/>
        </w:rPr>
        <w:t>tajemnici úřadu vydáváním dodatků ke směrnici č. 6/2011 v souvislosti s legislativními změnami</w:t>
      </w:r>
    </w:p>
    <w:p w14:paraId="0E1202CF" w14:textId="77777777" w:rsidR="00941C02" w:rsidRDefault="00941C02" w:rsidP="00941C02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6402688F" w14:textId="77777777" w:rsidR="00941C02" w:rsidRDefault="00941C02" w:rsidP="00941C02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5.10.2011 / 5.10.2011</w:t>
      </w:r>
    </w:p>
    <w:p w14:paraId="63F1D3C2" w14:textId="77777777" w:rsidR="008F20FE" w:rsidRPr="00941C02" w:rsidRDefault="008F20FE" w:rsidP="00941C02">
      <w:bookmarkStart w:id="0" w:name="_GoBack"/>
      <w:bookmarkEnd w:id="0"/>
    </w:p>
    <w:sectPr w:rsidR="008F20FE" w:rsidRPr="0094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F"/>
    <w:rsid w:val="0054229F"/>
    <w:rsid w:val="008F20FE"/>
    <w:rsid w:val="00941C02"/>
    <w:rsid w:val="00D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1CB4-91FD-4DB9-BB60-EC8D03E0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D1509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50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0">
    <w:name w:val="bodytext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0">
    <w:name w:val="import0"/>
    <w:basedOn w:val="Normal"/>
    <w:rsid w:val="00D1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D1509F"/>
  </w:style>
  <w:style w:type="character" w:styleId="Hyperlink">
    <w:name w:val="Hyperlink"/>
    <w:basedOn w:val="DefaultParagraphFont"/>
    <w:uiPriority w:val="99"/>
    <w:semiHidden/>
    <w:unhideWhenUsed/>
    <w:rsid w:val="00D1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7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586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02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852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443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64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145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846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1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8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94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157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2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25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52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479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407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16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7607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81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9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18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587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557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33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50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704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3</cp:revision>
  <dcterms:created xsi:type="dcterms:W3CDTF">2018-12-09T11:42:00Z</dcterms:created>
  <dcterms:modified xsi:type="dcterms:W3CDTF">2018-12-09T11:45:00Z</dcterms:modified>
</cp:coreProperties>
</file>